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9C" w:rsidRDefault="0066799C" w:rsidP="006679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</w:t>
      </w:r>
      <w:r w:rsidR="008B33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Приложение 1</w:t>
      </w:r>
    </w:p>
    <w:p w:rsidR="0066799C" w:rsidRDefault="0066799C" w:rsidP="0066799C">
      <w:pPr>
        <w:spacing w:after="0" w:line="240" w:lineRule="auto"/>
        <w:ind w:left="566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8B33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66799C" w:rsidRDefault="0066799C" w:rsidP="0066799C">
      <w:pPr>
        <w:spacing w:after="0" w:line="240" w:lineRule="auto"/>
        <w:ind w:left="4956"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8B33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городского округа город Рыбинск</w:t>
      </w:r>
    </w:p>
    <w:p w:rsidR="0066799C" w:rsidRPr="0051102E" w:rsidRDefault="0066799C" w:rsidP="0066799C">
      <w:pPr>
        <w:spacing w:after="0" w:line="240" w:lineRule="auto"/>
        <w:ind w:left="4956" w:firstLine="708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8B33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</w:t>
      </w:r>
      <w:bookmarkStart w:id="0" w:name="_GoBack"/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51102E">
        <w:rPr>
          <w:rFonts w:ascii="Times New Roman" w:hAnsi="Times New Roman"/>
          <w:bCs/>
          <w:sz w:val="28"/>
          <w:szCs w:val="28"/>
        </w:rPr>
        <w:t xml:space="preserve"> </w:t>
      </w:r>
      <w:r w:rsidR="0051102E">
        <w:rPr>
          <w:rFonts w:ascii="Times New Roman" w:hAnsi="Times New Roman"/>
          <w:bCs/>
          <w:sz w:val="28"/>
          <w:szCs w:val="28"/>
          <w:u w:val="single"/>
        </w:rPr>
        <w:t>28.09.2018</w:t>
      </w:r>
      <w:r w:rsidR="0051102E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1102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№ </w:t>
      </w:r>
      <w:r w:rsidR="0051102E">
        <w:rPr>
          <w:rFonts w:ascii="Times New Roman" w:hAnsi="Times New Roman"/>
          <w:bCs/>
          <w:sz w:val="28"/>
          <w:szCs w:val="28"/>
        </w:rPr>
        <w:t xml:space="preserve"> </w:t>
      </w:r>
      <w:r w:rsidR="0051102E" w:rsidRPr="0051102E">
        <w:rPr>
          <w:rFonts w:ascii="Times New Roman" w:hAnsi="Times New Roman"/>
          <w:bCs/>
          <w:sz w:val="28"/>
          <w:szCs w:val="28"/>
          <w:u w:val="single"/>
        </w:rPr>
        <w:t>2947</w:t>
      </w:r>
    </w:p>
    <w:bookmarkEnd w:id="0"/>
    <w:p w:rsidR="0066799C" w:rsidRDefault="0066799C" w:rsidP="0066799C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9B0267" w:rsidRDefault="009B0267" w:rsidP="0066799C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8B3312" w:rsidRPr="008B3312" w:rsidRDefault="00B42C95" w:rsidP="007F5B5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8B3312" w:rsidRPr="008B3312" w:rsidRDefault="008B3312" w:rsidP="008B33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296"/>
      <w:bookmarkEnd w:id="1"/>
      <w:r w:rsidRPr="008B3312">
        <w:rPr>
          <w:rFonts w:ascii="Times New Roman" w:hAnsi="Times New Roman"/>
          <w:bCs/>
          <w:sz w:val="28"/>
          <w:szCs w:val="28"/>
        </w:rPr>
        <w:t>ПЕРЕЧЕНЬ</w:t>
      </w:r>
    </w:p>
    <w:p w:rsidR="008B3312" w:rsidRPr="008B3312" w:rsidRDefault="008B3312" w:rsidP="008B33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B3312">
        <w:rPr>
          <w:rFonts w:ascii="Times New Roman" w:hAnsi="Times New Roman"/>
          <w:bCs/>
          <w:sz w:val="28"/>
          <w:szCs w:val="28"/>
        </w:rPr>
        <w:t>показателей качества финансового менеджмента ГРБС</w:t>
      </w:r>
    </w:p>
    <w:p w:rsidR="008B3312" w:rsidRPr="008B3312" w:rsidRDefault="008B3312" w:rsidP="008B331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15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268"/>
        <w:gridCol w:w="5364"/>
        <w:gridCol w:w="2126"/>
        <w:gridCol w:w="1559"/>
        <w:gridCol w:w="1418"/>
        <w:gridCol w:w="1807"/>
      </w:tblGrid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N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Наименование направлений оценки, показателей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Формула расчета показателя (Р) и необходимые исходные данные (единица измерения)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2" w:name="P306"/>
            <w:bookmarkEnd w:id="2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Параметры определения значения показателя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3" w:name="P307"/>
            <w:bookmarkEnd w:id="3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Значение оценки показателя в баллах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4" w:name="P308"/>
            <w:bookmarkEnd w:id="4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Весовые коэффициенты направлений оценки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Комментарий</w:t>
            </w: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Формирование бюджета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0,1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rPr>
          <w:trHeight w:val="3752"/>
        </w:trPr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Доля бюджетных ассигнований, представленных в программном виде (муниципальных, ведомственных программах)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=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Sп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/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Sr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x 100%,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S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объем бюджетных ассигнований ГРБС за счет средств бюджета городского округа на отчетный финансовый год, представленных в программном виде (муниципальных, ведомственных  программах) </w:t>
            </w: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 состоянию на 31 декабря отчетного года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Sr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общий объем бюджетных ассигнований ГРБС за счет средств  бюджета городского округа на отчетный финансовый год (за исключением бюджетных ассигнований на исполнение судебных актов (код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вида расходов классификации расходов бюджета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830), резервного фонда Администрации городского округа город Рыбинск)</w:t>
            </w: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 состоянию на 31 декабря отчетного года.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(%)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 &lt; 60%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60% &lt;= </w:t>
            </w:r>
            <w:proofErr w:type="gramStart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 &lt; 65%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65% &lt;= </w:t>
            </w:r>
            <w:proofErr w:type="gramStart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 &lt; 70%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% &lt;= </w:t>
            </w:r>
            <w:proofErr w:type="gramStart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 &lt; 80%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F12ECC" w:rsidP="00F12E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 xml:space="preserve">80% &lt;= </w:t>
            </w:r>
            <w:proofErr w:type="gramStart"/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nil"/>
            </w:tcBorders>
          </w:tcPr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6A374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F12ECC" w:rsidRPr="006A374F" w:rsidRDefault="00F12ECC" w:rsidP="00F12E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F12ECC" w:rsidP="00F12E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Степень развития целевого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программно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планирования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Степень использования лимитов бюджетных обязательств (без учета средств вышестоящих бюджетов)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sz w:val="28"/>
                <w:szCs w:val="28"/>
              </w:rPr>
              <w:t xml:space="preserve"> = F / L x 100%,</w:t>
            </w:r>
          </w:p>
          <w:p w:rsidR="008B3312" w:rsidRPr="008B3312" w:rsidRDefault="008B3312" w:rsidP="008B33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312"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312">
              <w:rPr>
                <w:rFonts w:ascii="Times New Roman" w:hAnsi="Times New Roman"/>
                <w:sz w:val="28"/>
                <w:szCs w:val="28"/>
              </w:rPr>
              <w:t>F - кассовое исполнение расходов ГРБС в отчетном периоде;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L - плановые лимиты бюджетных обязательств ГРБС в отчетном периоде</w:t>
            </w:r>
            <w:proofErr w:type="gramStart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(%)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30% &gt;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30%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60%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60%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80%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80%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90%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90%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95%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&gt;= 95%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60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80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100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степень освоения лимитов бюджетных обязательств</w:t>
            </w: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Оценка результатов исполнения бюджета по доходам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0,05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Оценка отклонения поступления доходов от прогноза на текущий финансовый год 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- отклонение от прогноза поступлений доходов на текущий финансовый год по главному администратору доходов бюджета</w:t>
            </w:r>
          </w:p>
          <w:p w:rsidR="008B3312" w:rsidRPr="008B3312" w:rsidRDefault="008B3312" w:rsidP="008B33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sz w:val="28"/>
                <w:szCs w:val="28"/>
              </w:rPr>
              <w:t xml:space="preserve"> = 100% x (</w:t>
            </w:r>
            <w:proofErr w:type="spellStart"/>
            <w:r w:rsidRPr="008B3312">
              <w:rPr>
                <w:rFonts w:ascii="Times New Roman" w:hAnsi="Times New Roman"/>
                <w:sz w:val="28"/>
                <w:szCs w:val="28"/>
              </w:rPr>
              <w:t>Rp</w:t>
            </w:r>
            <w:proofErr w:type="spellEnd"/>
            <w:r w:rsidRPr="008B3312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8B3312">
              <w:rPr>
                <w:rFonts w:ascii="Times New Roman" w:hAnsi="Times New Roman"/>
                <w:sz w:val="28"/>
                <w:szCs w:val="28"/>
              </w:rPr>
              <w:t>Rf</w:t>
            </w:r>
            <w:proofErr w:type="spellEnd"/>
            <w:r w:rsidRPr="008B3312">
              <w:rPr>
                <w:rFonts w:ascii="Times New Roman" w:hAnsi="Times New Roman"/>
                <w:sz w:val="28"/>
                <w:szCs w:val="28"/>
              </w:rPr>
              <w:t xml:space="preserve">) / </w:t>
            </w:r>
            <w:proofErr w:type="spellStart"/>
            <w:r w:rsidRPr="008B3312">
              <w:rPr>
                <w:rFonts w:ascii="Times New Roman" w:hAnsi="Times New Roman"/>
                <w:sz w:val="28"/>
                <w:szCs w:val="28"/>
              </w:rPr>
              <w:t>Rp</w:t>
            </w:r>
            <w:proofErr w:type="spellEnd"/>
            <w:r w:rsidRPr="008B331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B3312" w:rsidRPr="008B3312" w:rsidRDefault="008B3312" w:rsidP="008B33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312"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sz w:val="28"/>
                <w:szCs w:val="28"/>
              </w:rPr>
              <w:t>Rp</w:t>
            </w:r>
            <w:proofErr w:type="spellEnd"/>
            <w:r w:rsidRPr="008B3312">
              <w:rPr>
                <w:rFonts w:ascii="Times New Roman" w:hAnsi="Times New Roman"/>
                <w:sz w:val="28"/>
                <w:szCs w:val="28"/>
              </w:rPr>
              <w:t xml:space="preserve"> - прогноз поступлений доходов по главному администратору доходов бюджета;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Rf</w:t>
            </w:r>
            <w:proofErr w:type="spellEnd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- поступление доходов за отчетный период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12ECC" w:rsidRDefault="00F12ECC" w:rsidP="00F12E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</w:t>
            </w:r>
            <w:r w:rsidRPr="003D1706">
              <w:rPr>
                <w:rFonts w:ascii="Times New Roman" w:hAnsi="Times New Roman"/>
                <w:bCs/>
                <w:sz w:val="28"/>
                <w:szCs w:val="28"/>
              </w:rPr>
              <w:t xml:space="preserve"> &lt;= 5%</w:t>
            </w:r>
          </w:p>
          <w:p w:rsidR="00F12ECC" w:rsidRPr="003D1706" w:rsidRDefault="00F12ECC" w:rsidP="00F12E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Default="00F12ECC" w:rsidP="00F12E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706">
              <w:rPr>
                <w:rFonts w:ascii="Times New Roman" w:hAnsi="Times New Roman"/>
                <w:bCs/>
                <w:sz w:val="28"/>
                <w:szCs w:val="28"/>
              </w:rPr>
              <w:t xml:space="preserve">5% &lt; </w:t>
            </w:r>
            <w:r w:rsidRPr="0012615E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</w:t>
            </w:r>
            <w:r w:rsidRPr="003D1706">
              <w:rPr>
                <w:rFonts w:ascii="Times New Roman" w:hAnsi="Times New Roman"/>
                <w:bCs/>
                <w:sz w:val="28"/>
                <w:szCs w:val="28"/>
              </w:rPr>
              <w:t xml:space="preserve"> &lt;= 10%</w:t>
            </w:r>
          </w:p>
          <w:p w:rsidR="00F12ECC" w:rsidRPr="003D1706" w:rsidRDefault="00F12ECC" w:rsidP="00F12E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Default="00F12ECC" w:rsidP="00F12E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706">
              <w:rPr>
                <w:rFonts w:ascii="Times New Roman" w:hAnsi="Times New Roman"/>
                <w:bCs/>
                <w:sz w:val="28"/>
                <w:szCs w:val="28"/>
              </w:rPr>
              <w:t xml:space="preserve">10% &lt;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</w:t>
            </w:r>
            <w:r w:rsidRPr="003D1706">
              <w:rPr>
                <w:rFonts w:ascii="Times New Roman" w:hAnsi="Times New Roman"/>
                <w:bCs/>
                <w:sz w:val="28"/>
                <w:szCs w:val="28"/>
              </w:rPr>
              <w:t xml:space="preserve"> &lt;= 15%</w:t>
            </w:r>
          </w:p>
          <w:p w:rsidR="00F12ECC" w:rsidRPr="003D1706" w:rsidRDefault="00F12ECC" w:rsidP="00F12E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Default="00F12ECC" w:rsidP="00F12E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706">
              <w:rPr>
                <w:rFonts w:ascii="Times New Roman" w:hAnsi="Times New Roman"/>
                <w:bCs/>
                <w:sz w:val="28"/>
                <w:szCs w:val="28"/>
              </w:rPr>
              <w:t xml:space="preserve">15% &lt; </w:t>
            </w:r>
            <w:r w:rsidRPr="0012615E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</w:t>
            </w:r>
            <w:r w:rsidRPr="0012615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&lt;= 20%</w:t>
            </w:r>
          </w:p>
          <w:p w:rsidR="00F12ECC" w:rsidRPr="00DA5F71" w:rsidRDefault="00F12ECC" w:rsidP="00F12E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2ECC" w:rsidRDefault="00F12ECC" w:rsidP="00F12E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20% &lt; P &lt;= 30%</w:t>
            </w:r>
          </w:p>
          <w:p w:rsidR="00F12ECC" w:rsidRPr="00DA5F71" w:rsidRDefault="00F12ECC" w:rsidP="00F12E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F12ECC" w:rsidP="00454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3D11">
              <w:rPr>
                <w:rFonts w:ascii="Times New Roman" w:hAnsi="Times New Roman"/>
                <w:bCs/>
                <w:sz w:val="28"/>
                <w:szCs w:val="28"/>
              </w:rPr>
              <w:t xml:space="preserve">30% &lt;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50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Целевым ориентиром является значение показателя, не </w:t>
            </w:r>
            <w:proofErr w:type="gramStart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превосходя </w:t>
            </w:r>
            <w:proofErr w:type="spellStart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щее</w:t>
            </w:r>
            <w:proofErr w:type="spellEnd"/>
            <w:proofErr w:type="gramEnd"/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5%</w:t>
            </w: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результатов исполнения бюджета по расходам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0,15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35D7E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A35D7E" w:rsidRPr="00B6084A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A35D7E" w:rsidRDefault="00A35D7E" w:rsidP="00B42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557B">
              <w:rPr>
                <w:rFonts w:ascii="Times New Roman" w:hAnsi="Times New Roman"/>
                <w:sz w:val="28"/>
                <w:szCs w:val="28"/>
              </w:rPr>
              <w:t xml:space="preserve">Отклонение </w:t>
            </w:r>
            <w:r>
              <w:rPr>
                <w:rFonts w:ascii="Times New Roman" w:hAnsi="Times New Roman"/>
                <w:sz w:val="28"/>
                <w:szCs w:val="28"/>
              </w:rPr>
              <w:t>уточненного на отчетный финансовый год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объема расходов  </w:t>
            </w:r>
            <w:r w:rsidRPr="00C4557B">
              <w:rPr>
                <w:rFonts w:ascii="Times New Roman" w:hAnsi="Times New Roman"/>
                <w:sz w:val="28"/>
                <w:szCs w:val="28"/>
              </w:rPr>
              <w:lastRenderedPageBreak/>
              <w:t>по ГРБС</w:t>
            </w:r>
          </w:p>
          <w:p w:rsidR="00A35D7E" w:rsidRPr="00C4557B" w:rsidRDefault="00A35D7E" w:rsidP="00B42C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и бюджета городского округа по состоянию на 31 декабря отчетного года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первоначально утвержденному на отчетный 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финансовый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объему расходов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A35D7E" w:rsidRPr="00C4557B" w:rsidRDefault="00A35D7E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557B">
              <w:rPr>
                <w:rFonts w:ascii="Times New Roman" w:hAnsi="Times New Roman"/>
                <w:sz w:val="28"/>
                <w:szCs w:val="28"/>
              </w:rPr>
              <w:lastRenderedPageBreak/>
              <w:t>Р</w:t>
            </w:r>
            <w:proofErr w:type="gramEnd"/>
            <w:r w:rsidRPr="00C4557B">
              <w:rPr>
                <w:rFonts w:ascii="Times New Roman" w:hAnsi="Times New Roman"/>
                <w:sz w:val="28"/>
                <w:szCs w:val="28"/>
              </w:rPr>
              <w:t xml:space="preserve"> = (Р</w:t>
            </w:r>
            <w:r w:rsidRPr="00C4557B">
              <w:rPr>
                <w:rFonts w:ascii="Times New Roman" w:hAnsi="Times New Roman"/>
                <w:sz w:val="28"/>
                <w:szCs w:val="28"/>
                <w:vertAlign w:val="subscript"/>
              </w:rPr>
              <w:t>О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- Р</w:t>
            </w:r>
            <w:r w:rsidRPr="00C4557B">
              <w:rPr>
                <w:rFonts w:ascii="Times New Roman" w:hAnsi="Times New Roman"/>
                <w:sz w:val="28"/>
                <w:szCs w:val="28"/>
                <w:vertAlign w:val="subscript"/>
              </w:rPr>
              <w:t>ПП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>) / Р</w:t>
            </w:r>
            <w:r w:rsidRPr="00C4557B">
              <w:rPr>
                <w:rFonts w:ascii="Times New Roman" w:hAnsi="Times New Roman"/>
                <w:sz w:val="28"/>
                <w:szCs w:val="28"/>
                <w:vertAlign w:val="subscript"/>
              </w:rPr>
              <w:t>ПП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x 100%,</w:t>
            </w:r>
          </w:p>
          <w:p w:rsidR="00A35D7E" w:rsidRPr="00C4557B" w:rsidRDefault="00A35D7E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35D7E" w:rsidRPr="00C4557B" w:rsidRDefault="00A35D7E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557B"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A35D7E" w:rsidRPr="00C4557B" w:rsidRDefault="00A35D7E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557B">
              <w:rPr>
                <w:rFonts w:ascii="Times New Roman" w:hAnsi="Times New Roman"/>
                <w:sz w:val="28"/>
                <w:szCs w:val="28"/>
              </w:rPr>
              <w:t>Р</w:t>
            </w:r>
            <w:r w:rsidRPr="00C4557B">
              <w:rPr>
                <w:rFonts w:ascii="Times New Roman" w:hAnsi="Times New Roman"/>
                <w:sz w:val="28"/>
                <w:szCs w:val="28"/>
                <w:vertAlign w:val="subscript"/>
              </w:rPr>
              <w:t>О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- объем расходов по ГРБС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счет средств областного бюджета и бюджета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округа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(без учета федеральных средств),  ут</w:t>
            </w:r>
            <w:r>
              <w:rPr>
                <w:rFonts w:ascii="Times New Roman" w:hAnsi="Times New Roman"/>
                <w:sz w:val="28"/>
                <w:szCs w:val="28"/>
              </w:rPr>
              <w:t>очненный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отчетный 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>финансовый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состоянию на 31 декабря отчетного года</w:t>
            </w:r>
            <w:r w:rsidRPr="00C455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35D7E" w:rsidRPr="00B6084A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25AD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</w:t>
            </w:r>
            <w:r w:rsidRPr="00A25ADA">
              <w:rPr>
                <w:rFonts w:ascii="Times New Roman" w:eastAsia="Calibri" w:hAnsi="Times New Roman"/>
                <w:sz w:val="28"/>
                <w:szCs w:val="28"/>
                <w:vertAlign w:val="subscript"/>
                <w:lang w:eastAsia="en-US"/>
              </w:rPr>
              <w:t>ПП</w:t>
            </w:r>
            <w:r w:rsidRPr="00A25AD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- объем расходов по ГРБС </w:t>
            </w:r>
            <w:r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и бюджета городского округа</w:t>
            </w:r>
            <w:r w:rsidRPr="00A25AD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(без учета федеральных средств), первоначально утвержденный на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отчетный финансовый год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</w:t>
            </w:r>
            <w:proofErr w:type="gramEnd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 xml:space="preserve"> &gt; 50%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 xml:space="preserve"> &lt;= 50%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 xml:space="preserve"> &lt;= 40%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 xml:space="preserve"> &lt;= 20%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Pr="00B6084A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 xml:space="preserve"> &lt;= 10%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A35D7E" w:rsidRPr="00F41D40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5D7E" w:rsidRPr="00B6084A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F41D4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A35D7E" w:rsidRPr="00B6084A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A35D7E" w:rsidRPr="009472AC" w:rsidRDefault="00A35D7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2AC">
              <w:rPr>
                <w:rFonts w:ascii="Times New Roman" w:hAnsi="Times New Roman"/>
                <w:sz w:val="28"/>
                <w:szCs w:val="28"/>
              </w:rPr>
              <w:t xml:space="preserve">оценка точности среднесрочного планирования </w:t>
            </w:r>
            <w:r w:rsidRPr="009472AC">
              <w:rPr>
                <w:rFonts w:ascii="Times New Roman" w:hAnsi="Times New Roman"/>
                <w:sz w:val="28"/>
                <w:szCs w:val="28"/>
              </w:rPr>
              <w:lastRenderedPageBreak/>
              <w:t>со стороны ГРБС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F6DE5" w:rsidRPr="008B3312" w:rsidTr="00B42C95"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EF6DE5" w:rsidRPr="00B6084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.2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EF6DE5" w:rsidRPr="009472AC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2AC">
              <w:rPr>
                <w:rFonts w:ascii="Times New Roman" w:hAnsi="Times New Roman"/>
                <w:sz w:val="28"/>
                <w:szCs w:val="28"/>
              </w:rPr>
              <w:t xml:space="preserve">Объем передвижек в сводной бюджетной росписи в целом по ГРБС в течение отчетного года 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EF6DE5" w:rsidRPr="00250D68" w:rsidRDefault="00EF6DE5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50D6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50D68">
              <w:rPr>
                <w:rFonts w:ascii="Times New Roman" w:hAnsi="Times New Roman"/>
                <w:sz w:val="28"/>
                <w:szCs w:val="28"/>
              </w:rPr>
              <w:t xml:space="preserve"> = (ВР / Г) x 100%,</w:t>
            </w:r>
          </w:p>
          <w:p w:rsidR="00EF6DE5" w:rsidRPr="00250D68" w:rsidRDefault="00EF6DE5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6DE5" w:rsidRPr="00250D68" w:rsidRDefault="00EF6DE5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D68"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EF6DE5" w:rsidRPr="00250D68" w:rsidRDefault="00EF6DE5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D68">
              <w:rPr>
                <w:rFonts w:ascii="Times New Roman" w:hAnsi="Times New Roman"/>
                <w:sz w:val="28"/>
                <w:szCs w:val="28"/>
              </w:rPr>
              <w:t>ВР - сумма средств утвержденных передвижек бюджета ГРБС в сводной бюджетной росписи в отчетном году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типу средств 01 01 00 «Собственные средства» (без учета ассигнований резервного фонда Администрации ГОГР)</w:t>
            </w:r>
          </w:p>
          <w:p w:rsidR="00EF6DE5" w:rsidRPr="008038B1" w:rsidRDefault="00EF6DE5" w:rsidP="00B42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5AD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 - сумма объемов бюджетных ассигнований ГРБС, утвержденная в бюджете за отчетный год, по состоянию на 31 декабря отчетного года,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типу средств 01 01 00 «Собственные средства» (без учета ассигнований резервного фонда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ГОГР)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</w:t>
            </w:r>
            <w:proofErr w:type="gramEnd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 xml:space="preserve">&gt;=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>00%</w:t>
            </w:r>
          </w:p>
          <w:p w:rsidR="00EF6DE5" w:rsidRPr="001F1ED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 xml:space="preserve"> &gt;=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>0%</w:t>
            </w:r>
          </w:p>
          <w:p w:rsidR="00EF6DE5" w:rsidRPr="001F1ED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 xml:space="preserve"> &gt;=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>0%</w:t>
            </w:r>
          </w:p>
          <w:p w:rsidR="00EF6DE5" w:rsidRPr="001F1ED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 xml:space="preserve"> &gt;= 20%</w:t>
            </w:r>
          </w:p>
          <w:p w:rsidR="00EF6DE5" w:rsidRPr="001F1ED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Pr="00B6084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1F1EDA">
              <w:rPr>
                <w:rFonts w:ascii="Times New Roman" w:hAnsi="Times New Roman"/>
                <w:bCs/>
                <w:sz w:val="28"/>
                <w:szCs w:val="28"/>
              </w:rPr>
              <w:t xml:space="preserve"> &lt; 20%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2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EF6DE5" w:rsidRPr="009472AC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2A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  <w:p w:rsidR="00EF6DE5" w:rsidRPr="009472AC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2AC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  <w:p w:rsidR="00EF6DE5" w:rsidRPr="009472AC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9472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EF6DE5" w:rsidRPr="009472AC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F6DE5" w:rsidRPr="00B6084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9472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EF6DE5" w:rsidRPr="00B6084A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nil"/>
            </w:tcBorders>
          </w:tcPr>
          <w:p w:rsidR="00EF6DE5" w:rsidRPr="009472AC" w:rsidRDefault="00EF6DE5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2AC">
              <w:rPr>
                <w:rFonts w:ascii="Times New Roman" w:hAnsi="Times New Roman"/>
                <w:sz w:val="28"/>
                <w:szCs w:val="28"/>
              </w:rPr>
              <w:t>оценка точности планирования бюджета со стороны ГРБС</w:t>
            </w: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Своевременность уточнения муниципальных, ведомственных программ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Оценивается соблюдение ГРБС установленных сроков уточнения муниципальных, ведомственных программ, ответственным исполнителем которых он является, в случае если утвержденные решением о бюджете на отчетный финансовый год и плановый период объемы бюджетных ассигнований, предусмотренные за счет средств бюджета городского округа на реализацию программ, отличаются от объемов финансирования, предусмотренных за счет средств бюджета городского округа в утвержденных программах: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соблюдения сроков уточнения муниципальных, ведомственных программ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все программы уточнены с соблюдением установленных сроков;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наличие программ, уточненных с нарушением установленных сроков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rPr>
          <w:trHeight w:val="1284"/>
        </w:trPr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обязательствами в процессе исполнения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0,1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4D9" w:rsidRPr="008B3312" w:rsidTr="003A1E5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Эффективность управления просроченной кредиторской задолженностью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P =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Кр</w:t>
            </w:r>
            <w:proofErr w:type="spellEnd"/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/ Е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x 100%,</w:t>
            </w:r>
          </w:p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Кр</w:t>
            </w:r>
            <w:proofErr w:type="spellEnd"/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объем просроченной кредиторской задолженности ГРБС и казенных учреждений на 1 января года, следующего за отчетным;</w:t>
            </w:r>
          </w:p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Е - объем бюджетных ассигнований ГРБС в отчетном году </w:t>
            </w:r>
            <w:r w:rsidRPr="008B331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 состоянию на 31 декабря отчетного года</w:t>
            </w:r>
          </w:p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(%)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214D9" w:rsidRPr="00B6084A" w:rsidRDefault="009214D9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10% &lt; P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214D9" w:rsidRPr="00BE3CEC" w:rsidRDefault="009214D9" w:rsidP="008D1C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E3CE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объемов просроченной кредиторской задолженности по отношению к общим расходам ГРБС</w:t>
            </w:r>
          </w:p>
        </w:tc>
      </w:tr>
      <w:tr w:rsidR="009214D9" w:rsidRPr="008B3312" w:rsidTr="003A1E5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9214D9" w:rsidRPr="00B6084A" w:rsidRDefault="009214D9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8% &lt; P &lt;= 10%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214D9" w:rsidRPr="00BE3CEC" w:rsidRDefault="009214D9" w:rsidP="008D1C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E3CEC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4D9" w:rsidRPr="008B3312" w:rsidTr="003A1E5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9214D9" w:rsidRPr="00B6084A" w:rsidRDefault="009214D9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% &lt; P &lt;= 8%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214D9" w:rsidRPr="00BE3CEC" w:rsidRDefault="009214D9" w:rsidP="008D1C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E3CEC">
              <w:rPr>
                <w:rFonts w:ascii="Times New Roman" w:hAnsi="Times New Roman"/>
                <w:bCs/>
                <w:sz w:val="28"/>
                <w:szCs w:val="28"/>
              </w:rPr>
              <w:t>80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4D9" w:rsidRPr="008B3312" w:rsidTr="003A1E5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9214D9" w:rsidRPr="00B6084A" w:rsidRDefault="009214D9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 xml:space="preserve">2% &lt; P &lt;=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214D9" w:rsidRPr="00BE3CEC" w:rsidRDefault="009214D9" w:rsidP="008D1C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E3CEC">
              <w:rPr>
                <w:rFonts w:ascii="Times New Roman" w:hAnsi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4D9" w:rsidRPr="008B3312" w:rsidTr="003A1E5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9214D9" w:rsidRPr="00B6084A" w:rsidRDefault="009214D9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P &lt;= 2%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214D9" w:rsidRPr="00BE3CEC" w:rsidRDefault="009214D9" w:rsidP="008D1C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E3CEC">
              <w:rPr>
                <w:rFonts w:ascii="Times New Roman" w:hAnsi="Times New Roman"/>
                <w:bCs/>
                <w:sz w:val="28"/>
                <w:szCs w:val="28"/>
              </w:rPr>
              <w:t>150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4D9" w:rsidRPr="008B3312" w:rsidTr="003A1E5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9214D9" w:rsidRPr="00B6084A" w:rsidRDefault="009214D9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214D9" w:rsidRPr="00BE3CEC" w:rsidRDefault="009214D9" w:rsidP="008D1C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9214D9" w:rsidRPr="008B3312" w:rsidRDefault="009214D9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075D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Эффективность управления просроченной кредиторской задолженностью бюджетных (автономных) учреждений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P =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Крп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/ Ф x 100%,</w:t>
            </w:r>
          </w:p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Крп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объем просроченной кредиторской задолженности бюджетных (автономных) учреждений на 1 января года, следующего за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отчетным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Ф - плановый объем финансового обеспечения бюджетных (автономных) учреждений за счет всех источников в отчетном году</w:t>
            </w:r>
          </w:p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(%)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10% &lt; P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объемов просроченной кредиторской задолженности бюджетных (автономных) учреждений</w:t>
            </w:r>
          </w:p>
        </w:tc>
      </w:tr>
      <w:tr w:rsidR="00DD075D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8% &lt; P &lt;= 10%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075D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% &lt; P &lt;= 8%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075D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 xml:space="preserve">2% &lt; P &lt;=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075D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P &lt;= 2%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075D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D075D" w:rsidRPr="00B6084A" w:rsidRDefault="00DD075D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DD075D" w:rsidRPr="008B3312" w:rsidRDefault="00DD075D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Деятельность ГРБС по недопущению просроченной кредиторской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задолженности по выплате заработной платы и пособий по социальной помощи населению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P =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Кзп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+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Ксоц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Кзп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объем просроченной кредиторской задолженности ГРБС и казенных учреждений по выплате заработной платы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на 1 января года, следующего за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отчетным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Ксоц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объем просроченной кредиторской задолженности ГРБС и казенных учреждений по выплате пособий по социальной помощи населению на 1 января года, следующего за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отчетным</w:t>
            </w:r>
            <w:proofErr w:type="gramEnd"/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P = 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Целевым ориентиром является значение показателя,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равное 0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P &gt; 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Оказание муниципальных услуг (выполнение работ)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0,15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5.1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Выполнение муниципальными учреждениями утвержденного муниципального задания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P = У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количество функционально подчиненных ГРБС муниципальных учреждений (далее - муниципальные учреждения), выполнивших муниципальное задание в отчетном году в объеме, менее установленного муниципальным заданием с учетом допустимых отклонений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P = 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деятельности ГРБС в части обеспечения выполнения муниципальных заданий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P &gt; 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5.2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Прирост объема доходов бюджетных (автономных) учреждений от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приносящей доход деятельности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= (Д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о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Д) : Д x 100%,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0%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Положительно оценивается ежегодный рост доходов бюджетных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(автономных) учреждений от приносящей доход деятельности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 w:val="restart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о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объем доходов бюджетных (автономных) учреждений от приносящей доход деятельности за отчетный год;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 - объем доходов бюджетных (автономных) учреждений от приносящей доход деятельности за год, предшествующий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отчетному</w:t>
            </w:r>
            <w:proofErr w:type="gramEnd"/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0% &lt;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5%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5%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10%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10%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15%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60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15%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20%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80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20%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или в случае, если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= 0 и 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о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&gt; 0</w:t>
            </w: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5.3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Установление нормативных затрат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Оценивается утверждение ГРБС нормативных затрат в установленные сроки: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Оценка деятельности ГРБС в части соблюдения требований бюджетного законодательства по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установлен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ию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нормативных затрат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- нормативные затраты, связанные с оказанием услуг и выполнением работ утверждены в установленные сроки по всем услугам, включенным в </w:t>
            </w:r>
            <w:r w:rsidRPr="008B3312">
              <w:rPr>
                <w:rFonts w:ascii="Times New Roman" w:hAnsi="Times New Roman"/>
                <w:sz w:val="28"/>
                <w:szCs w:val="28"/>
              </w:rPr>
              <w:t>общероссийские базовые (отраслевые) перечни (классификаторы) государственных и муниципальных услуг и региональный перечень государственных (муниципальных) услуг и работ, оказываемых и выполняемых государственными (муниципальными) учреждениями Ярославской области, сформированными в соответствии с бюджетным законодательством Российской Федерации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proofErr w:type="gram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- нормативные затраты, связанные с оказанием услуг и выполнением работ не утверждены в установленные сроки либо утверждены в установленные сроки не по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всем услугам и работам включенным в </w:t>
            </w:r>
            <w:r w:rsidRPr="008B3312">
              <w:rPr>
                <w:rFonts w:ascii="Times New Roman" w:hAnsi="Times New Roman"/>
                <w:sz w:val="28"/>
                <w:szCs w:val="28"/>
              </w:rPr>
              <w:t>общероссийские базовые (отраслевые) перечни (классификаторы) государственных и муниципальных услуг и региональный перечень государственных (муниципальных) услуг и работ, оказываемых и выполняемых государственными (муниципальными) учреждениями Ярославской области, сформированными в соответствии с бюджетным законодательством Российской Федерации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proofErr w:type="gram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Размещение не менее 90% информации о муниципальных учреждениях на региональном сервисе "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Web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-консолидация 86н"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= (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+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пфхд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+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см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+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рд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+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км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+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мз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) / N x 100%,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122771E3" wp14:editId="0E48D85A">
                  <wp:extent cx="2819400" cy="1503045"/>
                  <wp:effectExtent l="0" t="0" r="0" b="1905"/>
                  <wp:docPr id="1" name="Рисунок 1" descr="Описание: base_23638_92098_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base_23638_92098_13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п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показатель по документу вида "Паспорт учреждения";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пфхд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показатель по документу вида "Информация о плане финансово-хозяйственной деятельности";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см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показатель по документу вида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"Информация о показателях бюджетной сметы";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рд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показатель по документу вида "Информация о результатах деятельности и об использовании имущества";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км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показатель по документу вида "Сведения о проведенных контрольных мероприятиях и их результатах";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8B3312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мз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показатель по документу вида "Информация о муниципальном задании";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N - количество оцениваемых видов документов, размещаемых муниципальными учреждениями на сервисе "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Web</w:t>
            </w:r>
            <w:proofErr w:type="spell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-консолидация 86н"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P =100%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Оценивается открытость информации об учреждениях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80%&lt;=P &lt; 100%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60% &lt;= P &lt; 80%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40% &lt;= P &lt; 60%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20% &lt;= P &lt; 40%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P &lt; 20%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Доля средств, возвращенных в бюджет городского округа муниципальными учреждениями в связи с невыполнением муниципального задания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P = </w:t>
            </w:r>
            <w:proofErr w:type="spell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Св</w:t>
            </w:r>
            <w:proofErr w:type="spellEnd"/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/ С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x 100%,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Св</w:t>
            </w:r>
            <w:proofErr w:type="spellEnd"/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- объем средств, возвращенных в установленные сроки в бюджет городского округа муниципальными учреждениями в отчетном году в связи с невыполнением муниципального задания;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С - общий объем средств, подлежащих возврату в бюджет городского округа в отчетном году в связи с невыполнением муниципального задания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(%)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P = 100%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деятельности ГРБС и муниципальных учреждений в части соблюдения требований бюджетного законодательства в сфере оказания муниципальных услуг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P &lt; 100%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Наличие результатов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контроля за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исполнением муниципального задания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Оценивается размещение полугодового и годового сводной отчета о выполнении муниципального задания на официальном сайте Администрации городского округа город Рыбинск: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деятельности ГРБС в части соблюдения требований бюджетного законодательства в сфере оказания муниципальных услуг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полугодовой и годовой сводный отчет о выполнении муниципального задания размещен на официальном сайте Администрации городского округа город Рыбинск;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полугодовой и годовой сводный отчет о выполнении муниципального задания на официальном сайте Администрации городского округа город Рыбинск отсутствует (размещена не в полном объеме)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Учет и отчетность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0,15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6.1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Доля платежных документов ГРБС и муниципальных учреждений, не принятых к исполнению Департаментом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= R / V x 100%,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R - количество непринятых платежных документов по лицевым счетам ГРБС и муниципальных учреждений по причине нарушения установленного порядка их заполнения;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V - общее количество платежных документов по лицевым счетам ГРБС и муниципальных учреждений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30% &lt;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Целевым ориентиром является значение показателя, равное 0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20% &lt;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&lt;= 30%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80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15% &lt;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&lt;= 20%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160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10% &lt;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&lt;= 15%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5% &lt;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&lt;= 10%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320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&lt;= 5%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400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6.2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Соблюдение сроков представления ГРБС годовой бюджетной (бухгалтерской) отчетности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Оценивается соблюдение установленных  Департаментом сроков представления ГРБС годовой бюджетной (бухгалтерской) отчетности: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Оценка соблюдения сроков представления годовой бюджетной (бухгалтерской) отчетности</w:t>
            </w: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  <w:shd w:val="clear" w:color="auto" w:fill="FFFFFF"/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бюджетная (бухгалтерская) отчетность ГРБС представлена с соблюдением установленных сроков;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бюджетная (бухгалтерская) отчетность ГРБС представлена с нарушением установленных сроков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Контроль и аудит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0,15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3312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7.1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Организация системы внутреннего финансового контроля и внутреннего финансового аудита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Оценивается:</w:t>
            </w:r>
          </w:p>
          <w:p w:rsidR="008B3312" w:rsidRPr="008B3312" w:rsidRDefault="008B3312" w:rsidP="008B33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1) организация, планирование и проведение внутреннего финансового контроля и внутреннего финансового аудита;</w:t>
            </w:r>
          </w:p>
          <w:p w:rsidR="008B3312" w:rsidRPr="008B3312" w:rsidRDefault="008B3312" w:rsidP="008B33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2) оформление и рассмотрение результатов внутреннего финансового контроля и внутреннего финансового аудита;</w:t>
            </w:r>
          </w:p>
          <w:p w:rsidR="008B3312" w:rsidRPr="008B3312" w:rsidRDefault="008B3312" w:rsidP="008B33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3) составление и представление отчетности о результатах внутреннего финансового аудита: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Показатель характеризует целостность</w:t>
            </w:r>
          </w:p>
          <w:p w:rsidR="008B3312" w:rsidRPr="008B3312" w:rsidRDefault="008B3312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созданной ГРБС системы внутреннего финансового контроля и внутреннего финансового аудита</w:t>
            </w: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ГРБС реализованы все оцениваемые пункты по организации системы внутреннего финансового контроля и внутреннего финансового аудита;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ГРБС реализованы не все оцениваемые пункты по организации системы внутреннего финансового контроля и внутреннего финансового аудита;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ГРБС не реализованы все оцениваемые пункты по организации системы внутреннего финансового контроля и внутреннего финансового аудита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7.2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Выполнение плана контрольных мероприятий в рамках внутреннего финансового контроля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= А / В x 100%,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где: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А - количество осуществленных ГРБС контрольных мероприятий по проверке муниципальных учреждений в рамках внутреннего финансового контроля за отчетный год;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В - количество контрольных мероприятий по проверке муниципальных учреждений, запланированных ГРБС в рамках внутреннего финансового контроля в отчетном году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(%)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В = 0 или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Целевым ориентиром является проведение ГРБС всех запланированных контрольных мероприятий</w:t>
            </w: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50%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50%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60%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60%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70%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B6084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70%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80%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80%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 &lt; 95%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95% &lt;= </w:t>
            </w:r>
            <w:proofErr w:type="gramStart"/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B6084A" w:rsidRDefault="007775AE" w:rsidP="00B42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0,15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8.1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Наличие сумм, подлежащих взысканию по исполнительным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документам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Оценивается наличие сумм, подлежащих взысканию по поступившим с начала финансового года исполнительным документам за счет средств бюджета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городского округа и средств муниципальных учреждений по состоянию на конец отчетного периода (в отношении ГРБС и муниципальных учреждений) </w:t>
            </w:r>
            <w:hyperlink w:anchor="P889" w:history="1">
              <w:r w:rsidRPr="008B3312">
                <w:rPr>
                  <w:rFonts w:ascii="Times New Roman" w:hAnsi="Times New Roman"/>
                  <w:bCs/>
                  <w:sz w:val="28"/>
                  <w:szCs w:val="28"/>
                  <w:u w:val="single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Целевым ориентиром является отсутствие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сумм, подлежащих взысканию по исполнительным листам</w:t>
            </w: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отсутствие сумм, подлежащих взысканию по исполнительным листам;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250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наличие сумм, подлежащих взысканию по исполнительным листам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c>
          <w:tcPr>
            <w:tcW w:w="794" w:type="dxa"/>
            <w:vMerge w:val="restart"/>
            <w:tcBorders>
              <w:top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8.2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 xml:space="preserve">Приостановление операций по расходованию средств на лицевых счетах ГРБС и муниципальных учреждений в связи с нарушением процедур исполнения судебных актов, предусматривающих обращение взыскания на средства бюджета городского округа и средства </w:t>
            </w: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5364" w:type="dxa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Оценивается наличие приостановлений операций по расходованию средств на лицевых счетах ГРБС и муниципальных учреждений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отсутствие приостановлений операций по расходованию средств на лицевых счетах;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- наличие приостановлений операций по расходованию средств на лицевых счетах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250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B3312">
              <w:rPr>
                <w:rFonts w:ascii="Times New Roman" w:hAnsi="Times New Roman"/>
                <w:bCs/>
                <w:sz w:val="28"/>
                <w:szCs w:val="28"/>
              </w:rPr>
              <w:t>Целевым ориентиром является отсутствие приостановлений операций по расходованию средств на лицевых счетах</w:t>
            </w: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775AE" w:rsidRPr="008B3312" w:rsidTr="00B42C95">
        <w:tblPrEx>
          <w:tblBorders>
            <w:insideH w:val="none" w:sz="0" w:space="0" w:color="auto"/>
          </w:tblBorders>
        </w:tblPrEx>
        <w:tc>
          <w:tcPr>
            <w:tcW w:w="794" w:type="dxa"/>
            <w:vMerge/>
            <w:tcBorders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nil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7775AE" w:rsidRPr="008B3312" w:rsidRDefault="007775AE" w:rsidP="008B33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B0267" w:rsidRDefault="009B0267" w:rsidP="008B331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B3312" w:rsidRPr="008B3312" w:rsidRDefault="008B3312" w:rsidP="008B331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B3312">
        <w:rPr>
          <w:rFonts w:ascii="Times New Roman" w:hAnsi="Times New Roman"/>
          <w:b/>
          <w:bCs/>
          <w:sz w:val="28"/>
          <w:szCs w:val="28"/>
        </w:rPr>
        <w:t>--------------------------------</w:t>
      </w:r>
    </w:p>
    <w:p w:rsidR="008B3312" w:rsidRPr="008B3312" w:rsidRDefault="008B3312" w:rsidP="008B3312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bookmarkStart w:id="5" w:name="P889"/>
      <w:bookmarkEnd w:id="5"/>
      <w:r w:rsidRPr="008B3312">
        <w:rPr>
          <w:rFonts w:ascii="Times New Roman" w:hAnsi="Times New Roman"/>
          <w:bCs/>
          <w:i/>
          <w:sz w:val="28"/>
          <w:szCs w:val="28"/>
        </w:rPr>
        <w:t xml:space="preserve">&lt;*&gt; По исполнительным документам, предусматривающим взыскание за счет средств бюджета городского округа город Рыбинск, данные учитываются по ГРБС, </w:t>
      </w:r>
      <w:proofErr w:type="gramStart"/>
      <w:r w:rsidRPr="008B3312">
        <w:rPr>
          <w:rFonts w:ascii="Times New Roman" w:hAnsi="Times New Roman"/>
          <w:bCs/>
          <w:i/>
          <w:sz w:val="28"/>
          <w:szCs w:val="28"/>
        </w:rPr>
        <w:t>представлявшему</w:t>
      </w:r>
      <w:proofErr w:type="gramEnd"/>
      <w:r w:rsidRPr="008B3312">
        <w:rPr>
          <w:rFonts w:ascii="Times New Roman" w:hAnsi="Times New Roman"/>
          <w:bCs/>
          <w:i/>
          <w:sz w:val="28"/>
          <w:szCs w:val="28"/>
        </w:rPr>
        <w:t xml:space="preserve"> в суде интересы городского округа по вопросам, входящим в его компетенцию.</w:t>
      </w:r>
    </w:p>
    <w:p w:rsidR="008B3312" w:rsidRPr="008B3312" w:rsidRDefault="008B3312" w:rsidP="008B3312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8B3312" w:rsidRPr="008B3312" w:rsidRDefault="008B3312" w:rsidP="008B3312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66799C" w:rsidRPr="002024AB" w:rsidRDefault="00F57AE1" w:rsidP="0066799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66799C">
        <w:rPr>
          <w:rFonts w:ascii="Times New Roman" w:hAnsi="Times New Roman"/>
          <w:bCs/>
          <w:sz w:val="28"/>
          <w:szCs w:val="28"/>
        </w:rPr>
        <w:t xml:space="preserve">иректор Департамента финансов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Н. Н. Петухова</w:t>
      </w:r>
      <w:r w:rsidR="0066799C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 xml:space="preserve">         </w:t>
      </w:r>
    </w:p>
    <w:p w:rsidR="008E1F36" w:rsidRDefault="008E1F36"/>
    <w:sectPr w:rsidR="008E1F36" w:rsidSect="002360B1">
      <w:headerReference w:type="default" r:id="rId8"/>
      <w:pgSz w:w="16838" w:h="11906" w:orient="landscape"/>
      <w:pgMar w:top="567" w:right="567" w:bottom="567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CEE" w:rsidRDefault="008D1CEE" w:rsidP="002360B1">
      <w:pPr>
        <w:spacing w:after="0" w:line="240" w:lineRule="auto"/>
      </w:pPr>
      <w:r>
        <w:separator/>
      </w:r>
    </w:p>
  </w:endnote>
  <w:endnote w:type="continuationSeparator" w:id="0">
    <w:p w:rsidR="008D1CEE" w:rsidRDefault="008D1CEE" w:rsidP="0023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CEE" w:rsidRDefault="008D1CEE" w:rsidP="002360B1">
      <w:pPr>
        <w:spacing w:after="0" w:line="240" w:lineRule="auto"/>
      </w:pPr>
      <w:r>
        <w:separator/>
      </w:r>
    </w:p>
  </w:footnote>
  <w:footnote w:type="continuationSeparator" w:id="0">
    <w:p w:rsidR="008D1CEE" w:rsidRDefault="008D1CEE" w:rsidP="00236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782862"/>
      <w:docPartObj>
        <w:docPartGallery w:val="Page Numbers (Top of Page)"/>
        <w:docPartUnique/>
      </w:docPartObj>
    </w:sdtPr>
    <w:sdtEndPr/>
    <w:sdtContent>
      <w:p w:rsidR="008D1CEE" w:rsidRDefault="008D1C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02E">
          <w:rPr>
            <w:noProof/>
          </w:rPr>
          <w:t>5</w:t>
        </w:r>
        <w:r>
          <w:fldChar w:fldCharType="end"/>
        </w:r>
      </w:p>
    </w:sdtContent>
  </w:sdt>
  <w:p w:rsidR="008D1CEE" w:rsidRDefault="008D1C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E2"/>
    <w:rsid w:val="002360B1"/>
    <w:rsid w:val="00292615"/>
    <w:rsid w:val="003A1E55"/>
    <w:rsid w:val="00454393"/>
    <w:rsid w:val="0051102E"/>
    <w:rsid w:val="005C0C14"/>
    <w:rsid w:val="0066799C"/>
    <w:rsid w:val="007775AE"/>
    <w:rsid w:val="007F5B5D"/>
    <w:rsid w:val="00864D21"/>
    <w:rsid w:val="008B3312"/>
    <w:rsid w:val="008D1CEE"/>
    <w:rsid w:val="008E1F36"/>
    <w:rsid w:val="009214D9"/>
    <w:rsid w:val="009B0267"/>
    <w:rsid w:val="009B7F7B"/>
    <w:rsid w:val="00A35D7E"/>
    <w:rsid w:val="00A679E2"/>
    <w:rsid w:val="00B42C95"/>
    <w:rsid w:val="00DD075D"/>
    <w:rsid w:val="00EC595F"/>
    <w:rsid w:val="00EF6DE5"/>
    <w:rsid w:val="00F12ECC"/>
    <w:rsid w:val="00F5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3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3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0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3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0B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3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3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0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3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0B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2413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Козлова</dc:creator>
  <cp:keywords/>
  <dc:description/>
  <cp:lastModifiedBy>Ирина И. Козлова</cp:lastModifiedBy>
  <cp:revision>20</cp:revision>
  <cp:lastPrinted>2018-09-13T12:05:00Z</cp:lastPrinted>
  <dcterms:created xsi:type="dcterms:W3CDTF">2018-08-31T12:17:00Z</dcterms:created>
  <dcterms:modified xsi:type="dcterms:W3CDTF">2018-12-12T11:42:00Z</dcterms:modified>
</cp:coreProperties>
</file>